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8CDD" w14:textId="60A7ACE4" w:rsidR="001B3BF2" w:rsidRPr="001B3BF2" w:rsidRDefault="001B3BF2" w:rsidP="001B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F2">
        <w:rPr>
          <w:rFonts w:ascii="Times New Roman" w:hAnsi="Times New Roman" w:cs="Times New Roman"/>
          <w:b/>
          <w:sz w:val="28"/>
          <w:szCs w:val="28"/>
        </w:rPr>
        <w:t xml:space="preserve">OZNÁMENÍ O KONÁNÍ </w:t>
      </w:r>
      <w:r w:rsidR="00213429">
        <w:rPr>
          <w:rFonts w:ascii="Times New Roman" w:hAnsi="Times New Roman" w:cs="Times New Roman"/>
          <w:b/>
          <w:sz w:val="28"/>
          <w:szCs w:val="28"/>
        </w:rPr>
        <w:t>MIMO</w:t>
      </w:r>
      <w:r w:rsidRPr="001B3BF2">
        <w:rPr>
          <w:rFonts w:ascii="Times New Roman" w:hAnsi="Times New Roman" w:cs="Times New Roman"/>
          <w:b/>
          <w:sz w:val="28"/>
          <w:szCs w:val="28"/>
        </w:rPr>
        <w:t>ŘÁDNÉ VALNÉ HROMADY</w:t>
      </w:r>
    </w:p>
    <w:p w14:paraId="023CE523" w14:textId="77777777" w:rsidR="001B3BF2" w:rsidRPr="001B3BF2" w:rsidRDefault="001B3BF2" w:rsidP="001B3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Představenstvo akciové společnosti</w:t>
      </w:r>
    </w:p>
    <w:p w14:paraId="752F23F0" w14:textId="77777777" w:rsidR="001B3BF2" w:rsidRPr="007056C5" w:rsidRDefault="001B3BF2" w:rsidP="001B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C5">
        <w:rPr>
          <w:rFonts w:ascii="Times New Roman" w:hAnsi="Times New Roman" w:cs="Times New Roman"/>
          <w:b/>
          <w:sz w:val="28"/>
          <w:szCs w:val="28"/>
        </w:rPr>
        <w:t>SFINX, a.s.</w:t>
      </w:r>
    </w:p>
    <w:p w14:paraId="2C829F2F" w14:textId="7B362C01" w:rsidR="001B3BF2" w:rsidRPr="001B3BF2" w:rsidRDefault="001B3BF2" w:rsidP="001B3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 xml:space="preserve">se sídlem U Smaltovny 115/2, České Budějovice 4, 370 01 České Budějovice, </w:t>
      </w:r>
      <w:r w:rsidR="007056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3BF2">
        <w:rPr>
          <w:rFonts w:ascii="Times New Roman" w:hAnsi="Times New Roman" w:cs="Times New Roman"/>
          <w:sz w:val="24"/>
          <w:szCs w:val="24"/>
        </w:rPr>
        <w:t>IČO: 466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Pr="001B3BF2">
        <w:rPr>
          <w:rFonts w:ascii="Times New Roman" w:hAnsi="Times New Roman" w:cs="Times New Roman"/>
          <w:sz w:val="24"/>
          <w:szCs w:val="24"/>
        </w:rPr>
        <w:t>78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Pr="001B3BF2">
        <w:rPr>
          <w:rFonts w:ascii="Times New Roman" w:hAnsi="Times New Roman" w:cs="Times New Roman"/>
          <w:sz w:val="24"/>
          <w:szCs w:val="24"/>
        </w:rPr>
        <w:t>280, zapsan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B3BF2">
        <w:rPr>
          <w:rFonts w:ascii="Times New Roman" w:hAnsi="Times New Roman" w:cs="Times New Roman"/>
          <w:sz w:val="24"/>
          <w:szCs w:val="24"/>
        </w:rPr>
        <w:t xml:space="preserve"> v obchodním rejstříku vedeném Krajským soudem v Českých Budějovicích, spisová značka B 503 svolává</w:t>
      </w:r>
    </w:p>
    <w:p w14:paraId="2A219555" w14:textId="1BA09114" w:rsidR="001B3BF2" w:rsidRPr="001B3BF2" w:rsidRDefault="00213429" w:rsidP="001B3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mimo</w:t>
      </w:r>
      <w:r w:rsidR="001B3BF2" w:rsidRPr="001B3BF2">
        <w:rPr>
          <w:rFonts w:ascii="Times New Roman" w:hAnsi="Times New Roman" w:cs="Times New Roman"/>
          <w:b/>
          <w:sz w:val="24"/>
          <w:szCs w:val="24"/>
        </w:rPr>
        <w:t>řádnou valnou hromadu</w:t>
      </w:r>
      <w:r w:rsidR="001B3BF2" w:rsidRPr="001B3BF2">
        <w:rPr>
          <w:rFonts w:ascii="Times New Roman" w:hAnsi="Times New Roman" w:cs="Times New Roman"/>
          <w:sz w:val="24"/>
          <w:szCs w:val="24"/>
        </w:rPr>
        <w:t>,</w:t>
      </w:r>
    </w:p>
    <w:p w14:paraId="656AADC0" w14:textId="40A2AFB6" w:rsidR="001B3BF2" w:rsidRPr="001B3BF2" w:rsidRDefault="001B3BF2" w:rsidP="001B3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koná </w:t>
      </w:r>
      <w:r w:rsidRPr="00213429">
        <w:rPr>
          <w:rFonts w:ascii="Times New Roman" w:hAnsi="Times New Roman" w:cs="Times New Roman"/>
          <w:sz w:val="24"/>
          <w:szCs w:val="24"/>
        </w:rPr>
        <w:t xml:space="preserve">dne </w:t>
      </w:r>
      <w:r w:rsidR="00213429">
        <w:rPr>
          <w:rFonts w:ascii="Times New Roman" w:hAnsi="Times New Roman" w:cs="Times New Roman"/>
          <w:sz w:val="24"/>
          <w:szCs w:val="24"/>
        </w:rPr>
        <w:t>18.</w:t>
      </w:r>
      <w:r w:rsid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prosince</w:t>
      </w:r>
      <w:r w:rsidRPr="00213429">
        <w:rPr>
          <w:rFonts w:ascii="Times New Roman" w:hAnsi="Times New Roman" w:cs="Times New Roman"/>
          <w:sz w:val="24"/>
          <w:szCs w:val="24"/>
        </w:rPr>
        <w:t xml:space="preserve"> 2019 v 08.30 hodin,</w:t>
      </w:r>
    </w:p>
    <w:p w14:paraId="1FF4A0E3" w14:textId="57348049" w:rsidR="001B3BF2" w:rsidRPr="001B3BF2" w:rsidRDefault="001B3BF2" w:rsidP="00213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v zasedací místnosti SFINX, a.s., U Smaltovny 115/2, České Budějovice</w:t>
      </w:r>
    </w:p>
    <w:p w14:paraId="06CCE73B" w14:textId="77777777" w:rsidR="001B3BF2" w:rsidRPr="001B3BF2" w:rsidRDefault="001B3BF2" w:rsidP="007056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BF2">
        <w:rPr>
          <w:rFonts w:ascii="Times New Roman" w:hAnsi="Times New Roman" w:cs="Times New Roman"/>
          <w:sz w:val="24"/>
          <w:szCs w:val="24"/>
          <w:u w:val="single"/>
        </w:rPr>
        <w:t xml:space="preserve">Pořad jednání valné hromady: </w:t>
      </w:r>
    </w:p>
    <w:p w14:paraId="7DCF6FD6" w14:textId="77777777" w:rsidR="001B3BF2" w:rsidRDefault="001B3BF2" w:rsidP="007056C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Zahájen</w:t>
      </w:r>
      <w:r>
        <w:rPr>
          <w:rFonts w:ascii="Times New Roman" w:hAnsi="Times New Roman" w:cs="Times New Roman"/>
          <w:sz w:val="24"/>
          <w:szCs w:val="24"/>
        </w:rPr>
        <w:t>í, kontrola usnášeníschopnosti</w:t>
      </w:r>
      <w:r w:rsidR="004B49C2">
        <w:rPr>
          <w:rFonts w:ascii="Times New Roman" w:hAnsi="Times New Roman" w:cs="Times New Roman"/>
          <w:sz w:val="24"/>
          <w:szCs w:val="24"/>
        </w:rPr>
        <w:t xml:space="preserve"> valné hromady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267CB" w14:textId="77777777" w:rsidR="001B3BF2" w:rsidRDefault="001B3BF2" w:rsidP="007056C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 xml:space="preserve">Volba orgánů valné hromady – předsedy valné hromady, zapisovatele, ověřovatelů a osob pověřených sčítáním hlasů. </w:t>
      </w:r>
    </w:p>
    <w:p w14:paraId="19525E92" w14:textId="7534B420" w:rsidR="001B3BF2" w:rsidRDefault="00104E01" w:rsidP="007056C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6C5">
        <w:rPr>
          <w:rFonts w:ascii="Times New Roman" w:hAnsi="Times New Roman" w:cs="Times New Roman"/>
          <w:sz w:val="24"/>
          <w:szCs w:val="24"/>
        </w:rPr>
        <w:t xml:space="preserve">Schválení převodu </w:t>
      </w:r>
      <w:r w:rsidR="000F65A5">
        <w:rPr>
          <w:rFonts w:ascii="Times New Roman" w:hAnsi="Times New Roman" w:cs="Times New Roman"/>
          <w:sz w:val="24"/>
          <w:szCs w:val="24"/>
        </w:rPr>
        <w:t>movitého a nemovitého majetku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. </w:t>
      </w:r>
      <w:r w:rsidR="002260F4">
        <w:rPr>
          <w:rFonts w:ascii="Times New Roman" w:hAnsi="Times New Roman" w:cs="Times New Roman"/>
          <w:sz w:val="24"/>
          <w:szCs w:val="24"/>
        </w:rPr>
        <w:t>O tomto rozhodnutí valné hromady</w:t>
      </w:r>
      <w:r w:rsidR="00887D8C">
        <w:rPr>
          <w:rFonts w:ascii="Times New Roman" w:hAnsi="Times New Roman" w:cs="Times New Roman"/>
          <w:sz w:val="24"/>
          <w:szCs w:val="24"/>
        </w:rPr>
        <w:t xml:space="preserve"> činěném dle </w:t>
      </w:r>
      <w:proofErr w:type="spellStart"/>
      <w:r w:rsidR="00887D8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887D8C">
        <w:rPr>
          <w:rFonts w:ascii="Times New Roman" w:hAnsi="Times New Roman" w:cs="Times New Roman"/>
          <w:sz w:val="24"/>
          <w:szCs w:val="24"/>
        </w:rPr>
        <w:t>. § 421 odst. 2, písm</w:t>
      </w:r>
      <w:r w:rsidR="001F23B0">
        <w:rPr>
          <w:rFonts w:ascii="Times New Roman" w:hAnsi="Times New Roman" w:cs="Times New Roman"/>
          <w:sz w:val="24"/>
          <w:szCs w:val="24"/>
        </w:rPr>
        <w:t>.</w:t>
      </w:r>
      <w:r w:rsidR="00887D8C">
        <w:rPr>
          <w:rFonts w:ascii="Times New Roman" w:hAnsi="Times New Roman" w:cs="Times New Roman"/>
          <w:sz w:val="24"/>
          <w:szCs w:val="24"/>
        </w:rPr>
        <w:t xml:space="preserve"> m)</w:t>
      </w:r>
      <w:r w:rsidR="00887D8C" w:rsidRPr="00887D8C">
        <w:rPr>
          <w:rFonts w:ascii="Times New Roman" w:hAnsi="Times New Roman" w:cs="Times New Roman"/>
          <w:sz w:val="24"/>
          <w:szCs w:val="24"/>
        </w:rPr>
        <w:t xml:space="preserve"> </w:t>
      </w:r>
      <w:r w:rsidR="00887D8C">
        <w:rPr>
          <w:rFonts w:ascii="Times New Roman" w:hAnsi="Times New Roman" w:cs="Times New Roman"/>
          <w:sz w:val="24"/>
          <w:szCs w:val="24"/>
        </w:rPr>
        <w:t xml:space="preserve">zák. č. 90/2012 Sb., o obchodních společnostech a družstvech (zákon o obchodních korporacích) v platném znění (dále jen ZOK) </w:t>
      </w:r>
      <w:r w:rsidR="002260F4">
        <w:rPr>
          <w:rFonts w:ascii="Times New Roman" w:hAnsi="Times New Roman" w:cs="Times New Roman"/>
          <w:sz w:val="24"/>
          <w:szCs w:val="24"/>
        </w:rPr>
        <w:t xml:space="preserve">bude podle </w:t>
      </w:r>
      <w:proofErr w:type="spellStart"/>
      <w:r w:rsidR="007056C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056C5">
        <w:rPr>
          <w:rFonts w:ascii="Times New Roman" w:hAnsi="Times New Roman" w:cs="Times New Roman"/>
          <w:sz w:val="24"/>
          <w:szCs w:val="24"/>
        </w:rPr>
        <w:t xml:space="preserve">. </w:t>
      </w:r>
      <w:r w:rsidR="002260F4">
        <w:rPr>
          <w:rFonts w:ascii="Times New Roman" w:hAnsi="Times New Roman" w:cs="Times New Roman"/>
          <w:sz w:val="24"/>
          <w:szCs w:val="24"/>
        </w:rPr>
        <w:t>§ 416, odst.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="002260F4">
        <w:rPr>
          <w:rFonts w:ascii="Times New Roman" w:hAnsi="Times New Roman" w:cs="Times New Roman"/>
          <w:sz w:val="24"/>
          <w:szCs w:val="24"/>
        </w:rPr>
        <w:t xml:space="preserve">1 a 2 </w:t>
      </w:r>
      <w:r w:rsidR="00887D8C">
        <w:rPr>
          <w:rFonts w:ascii="Times New Roman" w:hAnsi="Times New Roman" w:cs="Times New Roman"/>
          <w:sz w:val="24"/>
          <w:szCs w:val="24"/>
        </w:rPr>
        <w:t xml:space="preserve">ZOK </w:t>
      </w:r>
      <w:r w:rsidR="007056C5">
        <w:rPr>
          <w:rFonts w:ascii="Times New Roman" w:hAnsi="Times New Roman" w:cs="Times New Roman"/>
          <w:sz w:val="24"/>
          <w:szCs w:val="24"/>
        </w:rPr>
        <w:t xml:space="preserve">a podle </w:t>
      </w:r>
      <w:proofErr w:type="spellStart"/>
      <w:r w:rsidR="007056C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056C5">
        <w:rPr>
          <w:rFonts w:ascii="Times New Roman" w:hAnsi="Times New Roman" w:cs="Times New Roman"/>
          <w:sz w:val="24"/>
          <w:szCs w:val="24"/>
        </w:rPr>
        <w:t xml:space="preserve">. </w:t>
      </w:r>
      <w:r w:rsidR="002260F4">
        <w:rPr>
          <w:rFonts w:ascii="Times New Roman" w:hAnsi="Times New Roman" w:cs="Times New Roman"/>
          <w:sz w:val="24"/>
          <w:szCs w:val="24"/>
        </w:rPr>
        <w:t xml:space="preserve">§ 80a </w:t>
      </w:r>
      <w:r w:rsidR="007056C5">
        <w:rPr>
          <w:rFonts w:ascii="Times New Roman" w:hAnsi="Times New Roman" w:cs="Times New Roman"/>
          <w:sz w:val="24"/>
          <w:szCs w:val="24"/>
        </w:rPr>
        <w:t xml:space="preserve">zák. č. 358/1992 Sb., o notářích a jejich činnosti (notářský řád) v platném znění (dále jen </w:t>
      </w:r>
      <w:proofErr w:type="spellStart"/>
      <w:r w:rsidR="002260F4">
        <w:rPr>
          <w:rFonts w:ascii="Times New Roman" w:hAnsi="Times New Roman" w:cs="Times New Roman"/>
          <w:sz w:val="24"/>
          <w:szCs w:val="24"/>
        </w:rPr>
        <w:t>NotŘ</w:t>
      </w:r>
      <w:proofErr w:type="spellEnd"/>
      <w:r w:rsidR="007056C5">
        <w:rPr>
          <w:rFonts w:ascii="Times New Roman" w:hAnsi="Times New Roman" w:cs="Times New Roman"/>
          <w:sz w:val="24"/>
          <w:szCs w:val="24"/>
        </w:rPr>
        <w:t>)</w:t>
      </w:r>
      <w:r w:rsidR="002260F4">
        <w:rPr>
          <w:rFonts w:ascii="Times New Roman" w:hAnsi="Times New Roman" w:cs="Times New Roman"/>
          <w:sz w:val="24"/>
          <w:szCs w:val="24"/>
        </w:rPr>
        <w:t xml:space="preserve"> pořízen notářský zápis.</w:t>
      </w:r>
    </w:p>
    <w:p w14:paraId="6D8EB68B" w14:textId="34D707F3" w:rsidR="001B3BF2" w:rsidRPr="007056C5" w:rsidRDefault="00C449EE" w:rsidP="001B3BF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  <w:r w:rsidR="002260F4">
        <w:rPr>
          <w:rFonts w:ascii="Times New Roman" w:hAnsi="Times New Roman" w:cs="Times New Roman"/>
          <w:sz w:val="24"/>
          <w:szCs w:val="24"/>
        </w:rPr>
        <w:t>.</w:t>
      </w:r>
    </w:p>
    <w:p w14:paraId="16FDDEB2" w14:textId="0B8AF1BA" w:rsidR="001B3BF2" w:rsidRDefault="00870FEF" w:rsidP="001B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Rozhodným dnem k účasti na valné hromadě je ve smyslu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405 odst. 4 ZOK sedmý den předcházející dni konání valné hromady, ke kterému společnost opatří </w:t>
      </w:r>
      <w:r w:rsidR="000F65A5">
        <w:rPr>
          <w:rFonts w:ascii="Times New Roman" w:hAnsi="Times New Roman" w:cs="Times New Roman"/>
          <w:sz w:val="24"/>
          <w:szCs w:val="24"/>
        </w:rPr>
        <w:t xml:space="preserve">podle § 275 odst. 3 ZOK </w:t>
      </w:r>
      <w:r>
        <w:rPr>
          <w:rFonts w:ascii="Times New Roman" w:hAnsi="Times New Roman" w:cs="Times New Roman"/>
          <w:sz w:val="24"/>
          <w:szCs w:val="24"/>
        </w:rPr>
        <w:t xml:space="preserve">výpis z evidence </w:t>
      </w:r>
      <w:r w:rsidR="000F65A5">
        <w:rPr>
          <w:rFonts w:ascii="Times New Roman" w:hAnsi="Times New Roman" w:cs="Times New Roman"/>
          <w:sz w:val="24"/>
          <w:szCs w:val="24"/>
        </w:rPr>
        <w:t>zaknihovaných cenných papírů (akcií)</w:t>
      </w:r>
      <w:r>
        <w:rPr>
          <w:rFonts w:ascii="Times New Roman" w:hAnsi="Times New Roman" w:cs="Times New Roman"/>
          <w:sz w:val="24"/>
          <w:szCs w:val="24"/>
        </w:rPr>
        <w:t xml:space="preserve"> u CDCP. </w:t>
      </w:r>
      <w:r w:rsidR="001B3BF2" w:rsidRPr="001B3BF2">
        <w:rPr>
          <w:rFonts w:ascii="Times New Roman" w:hAnsi="Times New Roman" w:cs="Times New Roman"/>
          <w:sz w:val="24"/>
          <w:szCs w:val="24"/>
        </w:rPr>
        <w:t>Prezence bude prováděna od 7</w:t>
      </w:r>
      <w:r w:rsidR="007056C5">
        <w:rPr>
          <w:rFonts w:ascii="Times New Roman" w:hAnsi="Times New Roman" w:cs="Times New Roman"/>
          <w:sz w:val="24"/>
          <w:szCs w:val="24"/>
        </w:rPr>
        <w:t>.</w:t>
      </w:r>
      <w:r w:rsidR="001B3BF2" w:rsidRPr="001B3BF2">
        <w:rPr>
          <w:rFonts w:ascii="Times New Roman" w:hAnsi="Times New Roman" w:cs="Times New Roman"/>
          <w:sz w:val="24"/>
          <w:szCs w:val="24"/>
        </w:rPr>
        <w:t>30 hodin v místě konání valné hromady. Valné hromady se mohou zúčastnit akcionáři uvedení ve výpisu z</w:t>
      </w:r>
      <w:r>
        <w:rPr>
          <w:rFonts w:ascii="Times New Roman" w:hAnsi="Times New Roman" w:cs="Times New Roman"/>
          <w:sz w:val="24"/>
          <w:szCs w:val="24"/>
        </w:rPr>
        <w:t xml:space="preserve"> evidence emise 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CDCP k rozhodnému dni – </w:t>
      </w:r>
      <w:r w:rsidR="00213429">
        <w:rPr>
          <w:rFonts w:ascii="Times New Roman" w:hAnsi="Times New Roman" w:cs="Times New Roman"/>
          <w:sz w:val="24"/>
          <w:szCs w:val="24"/>
        </w:rPr>
        <w:t>11.</w:t>
      </w:r>
      <w:r w:rsid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12.</w:t>
      </w:r>
      <w:r w:rsid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2019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, kteří se prokáží průkazem totožnosti </w:t>
      </w:r>
      <w:r>
        <w:rPr>
          <w:rFonts w:ascii="Times New Roman" w:hAnsi="Times New Roman" w:cs="Times New Roman"/>
          <w:sz w:val="24"/>
          <w:szCs w:val="24"/>
        </w:rPr>
        <w:t xml:space="preserve">a u právnických osob i 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originálem </w:t>
      </w:r>
      <w:r>
        <w:rPr>
          <w:rFonts w:ascii="Times New Roman" w:hAnsi="Times New Roman" w:cs="Times New Roman"/>
          <w:sz w:val="24"/>
          <w:szCs w:val="24"/>
        </w:rPr>
        <w:t xml:space="preserve">aktuálního 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výpisu z </w:t>
      </w:r>
      <w:r>
        <w:rPr>
          <w:rFonts w:ascii="Times New Roman" w:hAnsi="Times New Roman" w:cs="Times New Roman"/>
          <w:sz w:val="24"/>
          <w:szCs w:val="24"/>
        </w:rPr>
        <w:t>veřejné</w:t>
      </w:r>
      <w:r w:rsidRPr="001B3BF2">
        <w:rPr>
          <w:rFonts w:ascii="Times New Roman" w:hAnsi="Times New Roman" w:cs="Times New Roman"/>
          <w:sz w:val="24"/>
          <w:szCs w:val="24"/>
        </w:rPr>
        <w:t xml:space="preserve">ho 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rejstříku. Zmocněnci se dále musí prokázat plnou mocí s úředně ověřeným podpisem zmocnitele. Členové orgánů společnosti nejsou jako zmocněnci akcionáře ve střetu zájmů. </w:t>
      </w:r>
    </w:p>
    <w:p w14:paraId="10C395F4" w14:textId="5F9D3044" w:rsidR="001F23B0" w:rsidRDefault="00FB4443" w:rsidP="001F23B0">
      <w:pPr>
        <w:jc w:val="both"/>
        <w:rPr>
          <w:rFonts w:ascii="Times New Roman" w:hAnsi="Times New Roman" w:cs="Times New Roman"/>
          <w:sz w:val="24"/>
          <w:szCs w:val="24"/>
        </w:rPr>
      </w:pPr>
      <w:r w:rsidRPr="001F23B0">
        <w:rPr>
          <w:rFonts w:ascii="Times New Roman" w:hAnsi="Times New Roman" w:cs="Times New Roman"/>
          <w:sz w:val="24"/>
          <w:szCs w:val="24"/>
        </w:rPr>
        <w:t>Navrhovaný bod</w:t>
      </w:r>
      <w:r w:rsidR="00870FEF" w:rsidRP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 w:rsidRPr="001F23B0">
        <w:rPr>
          <w:rFonts w:ascii="Times New Roman" w:hAnsi="Times New Roman" w:cs="Times New Roman"/>
          <w:sz w:val="24"/>
          <w:szCs w:val="24"/>
        </w:rPr>
        <w:t>3</w:t>
      </w:r>
      <w:r w:rsidRPr="001F23B0">
        <w:rPr>
          <w:rFonts w:ascii="Times New Roman" w:hAnsi="Times New Roman" w:cs="Times New Roman"/>
          <w:sz w:val="24"/>
          <w:szCs w:val="24"/>
        </w:rPr>
        <w:t>. je představenstvem předkládán za účelem</w:t>
      </w:r>
      <w:r w:rsidR="00887D8C" w:rsidRPr="001F23B0">
        <w:rPr>
          <w:rFonts w:ascii="Times New Roman" w:hAnsi="Times New Roman" w:cs="Times New Roman"/>
          <w:sz w:val="24"/>
          <w:szCs w:val="24"/>
        </w:rPr>
        <w:t xml:space="preserve"> zásadního</w:t>
      </w:r>
      <w:r w:rsidRP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7056C5" w:rsidRPr="001F23B0">
        <w:rPr>
          <w:rFonts w:ascii="Times New Roman" w:hAnsi="Times New Roman" w:cs="Times New Roman"/>
          <w:sz w:val="24"/>
          <w:szCs w:val="24"/>
        </w:rPr>
        <w:t xml:space="preserve">snížení </w:t>
      </w:r>
      <w:r w:rsidRPr="001F23B0">
        <w:rPr>
          <w:rFonts w:ascii="Times New Roman" w:hAnsi="Times New Roman" w:cs="Times New Roman"/>
          <w:sz w:val="24"/>
          <w:szCs w:val="24"/>
        </w:rPr>
        <w:t xml:space="preserve">úvěrového </w:t>
      </w:r>
      <w:bookmarkStart w:id="0" w:name="_GoBack"/>
      <w:bookmarkEnd w:id="0"/>
      <w:r w:rsidRPr="001F23B0">
        <w:rPr>
          <w:rFonts w:ascii="Times New Roman" w:hAnsi="Times New Roman" w:cs="Times New Roman"/>
          <w:sz w:val="24"/>
          <w:szCs w:val="24"/>
        </w:rPr>
        <w:t xml:space="preserve">zatížení společnosti prodejem </w:t>
      </w:r>
      <w:r w:rsidR="000F65A5" w:rsidRPr="001F23B0">
        <w:rPr>
          <w:rFonts w:ascii="Times New Roman" w:hAnsi="Times New Roman" w:cs="Times New Roman"/>
          <w:sz w:val="24"/>
          <w:szCs w:val="24"/>
        </w:rPr>
        <w:t xml:space="preserve">nemovitého a movitého </w:t>
      </w:r>
      <w:r w:rsidRPr="001F23B0">
        <w:rPr>
          <w:rFonts w:ascii="Times New Roman" w:hAnsi="Times New Roman" w:cs="Times New Roman"/>
          <w:sz w:val="24"/>
          <w:szCs w:val="24"/>
        </w:rPr>
        <w:t>majetku</w:t>
      </w:r>
      <w:r w:rsidR="002260F4" w:rsidRPr="001F23B0">
        <w:rPr>
          <w:rFonts w:ascii="Times New Roman" w:hAnsi="Times New Roman" w:cs="Times New Roman"/>
          <w:sz w:val="24"/>
          <w:szCs w:val="24"/>
        </w:rPr>
        <w:t xml:space="preserve">. </w:t>
      </w:r>
      <w:r w:rsidR="00887D8C" w:rsidRPr="001F23B0">
        <w:rPr>
          <w:rFonts w:ascii="Times New Roman" w:hAnsi="Times New Roman" w:cs="Times New Roman"/>
          <w:sz w:val="24"/>
          <w:szCs w:val="24"/>
        </w:rPr>
        <w:t>Jedná se konkrétně o nemovit</w:t>
      </w:r>
      <w:r w:rsidR="001F23B0" w:rsidRPr="001F23B0">
        <w:rPr>
          <w:rFonts w:ascii="Times New Roman" w:hAnsi="Times New Roman" w:cs="Times New Roman"/>
          <w:sz w:val="24"/>
          <w:szCs w:val="24"/>
        </w:rPr>
        <w:t>é věci</w:t>
      </w:r>
      <w:r w:rsidR="00887D8C" w:rsidRP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1F23B0">
        <w:rPr>
          <w:rFonts w:ascii="Times New Roman" w:hAnsi="Times New Roman" w:cs="Times New Roman"/>
          <w:sz w:val="24"/>
          <w:szCs w:val="24"/>
        </w:rPr>
        <w:t xml:space="preserve">(vč. jejich součástí a příslušenství, vybavení a zařízení) </w:t>
      </w:r>
      <w:r w:rsidR="001F23B0" w:rsidRPr="001F23B0">
        <w:rPr>
          <w:rFonts w:ascii="Times New Roman" w:hAnsi="Times New Roman" w:cs="Times New Roman"/>
          <w:sz w:val="24"/>
          <w:szCs w:val="24"/>
        </w:rPr>
        <w:t xml:space="preserve">zapsané v katastru nemovitostí vedeným Katastrálním úřadem pro Jihočeský kraj, Katastrální pracoviště České Budějovice na LV č. 1470 pro obec České Budějovice, katastrální území České Budějovice 4 jako pozemek katastru nemovitostí </w:t>
      </w:r>
      <w:proofErr w:type="spellStart"/>
      <w:r w:rsidR="001F23B0" w:rsidRPr="001F23B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F23B0" w:rsidRPr="001F23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23B0" w:rsidRPr="001F23B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1F23B0" w:rsidRP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1F23B0">
        <w:rPr>
          <w:rFonts w:ascii="Times New Roman" w:hAnsi="Times New Roman" w:cs="Times New Roman"/>
          <w:sz w:val="24"/>
          <w:szCs w:val="24"/>
        </w:rPr>
        <w:t>711/1 zastavěná plocha a nádvoří, jehož součástí je stavba č. p. 115, České Budějovice 4, výroba;</w:t>
      </w:r>
      <w:r w:rsidR="001F23B0" w:rsidRPr="001F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3B0" w:rsidRPr="00E8102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F23B0" w:rsidRPr="00E810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23B0" w:rsidRPr="00E8102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1F23B0" w:rsidRPr="00E81020">
        <w:rPr>
          <w:rFonts w:ascii="Times New Roman" w:hAnsi="Times New Roman" w:cs="Times New Roman"/>
          <w:sz w:val="24"/>
          <w:szCs w:val="24"/>
        </w:rPr>
        <w:t xml:space="preserve"> </w:t>
      </w:r>
      <w:r w:rsidR="001F23B0">
        <w:rPr>
          <w:rFonts w:ascii="Times New Roman" w:hAnsi="Times New Roman" w:cs="Times New Roman"/>
          <w:sz w:val="24"/>
          <w:szCs w:val="24"/>
        </w:rPr>
        <w:t>711/4 zastavěná plocha a nádvoří, jehož součástí je stavba bez čp/</w:t>
      </w:r>
      <w:proofErr w:type="spellStart"/>
      <w:r w:rsidR="001F23B0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="001F23B0">
        <w:rPr>
          <w:rFonts w:ascii="Times New Roman" w:hAnsi="Times New Roman" w:cs="Times New Roman"/>
          <w:sz w:val="24"/>
          <w:szCs w:val="24"/>
        </w:rPr>
        <w:t xml:space="preserve"> – průmyslový objekt; </w:t>
      </w:r>
      <w:proofErr w:type="spellStart"/>
      <w:r w:rsidR="001F23B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F23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23B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1F23B0">
        <w:rPr>
          <w:rFonts w:ascii="Times New Roman" w:hAnsi="Times New Roman" w:cs="Times New Roman"/>
          <w:sz w:val="24"/>
          <w:szCs w:val="24"/>
        </w:rPr>
        <w:t xml:space="preserve"> 711/6 ostatní plocha a </w:t>
      </w:r>
      <w:proofErr w:type="spellStart"/>
      <w:r w:rsidR="001F23B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F23B0">
        <w:rPr>
          <w:rFonts w:ascii="Times New Roman" w:hAnsi="Times New Roman" w:cs="Times New Roman"/>
          <w:sz w:val="24"/>
          <w:szCs w:val="24"/>
        </w:rPr>
        <w:t>. č. 711/28 ostatní plocha.</w:t>
      </w:r>
    </w:p>
    <w:p w14:paraId="05DC5EDC" w14:textId="404EBD87" w:rsidR="001F23B0" w:rsidRDefault="00213429" w:rsidP="001F23B0">
      <w:pPr>
        <w:jc w:val="both"/>
        <w:rPr>
          <w:rFonts w:ascii="Times New Roman" w:hAnsi="Times New Roman" w:cs="Times New Roman"/>
          <w:sz w:val="24"/>
          <w:szCs w:val="24"/>
        </w:rPr>
      </w:pPr>
      <w:r w:rsidRPr="001F2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574DA390" w14:textId="4B293D4E" w:rsidR="00213429" w:rsidRPr="001F23B0" w:rsidRDefault="00213429" w:rsidP="001F23B0">
      <w:pPr>
        <w:jc w:val="both"/>
        <w:rPr>
          <w:rFonts w:ascii="Times New Roman" w:hAnsi="Times New Roman" w:cs="Times New Roman"/>
          <w:sz w:val="24"/>
          <w:szCs w:val="24"/>
        </w:rPr>
      </w:pPr>
      <w:r w:rsidRPr="001F23B0">
        <w:rPr>
          <w:rFonts w:ascii="Times New Roman" w:hAnsi="Times New Roman" w:cs="Times New Roman"/>
          <w:sz w:val="24"/>
          <w:szCs w:val="24"/>
        </w:rPr>
        <w:t>Představenstvo SFINX, a.s.</w:t>
      </w:r>
    </w:p>
    <w:sectPr w:rsidR="00213429" w:rsidRPr="001F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0AFE"/>
    <w:multiLevelType w:val="hybridMultilevel"/>
    <w:tmpl w:val="C68EB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2"/>
    <w:rsid w:val="000F65A5"/>
    <w:rsid w:val="00104E01"/>
    <w:rsid w:val="00156ED2"/>
    <w:rsid w:val="001B3BF2"/>
    <w:rsid w:val="001F23B0"/>
    <w:rsid w:val="00213429"/>
    <w:rsid w:val="002260F4"/>
    <w:rsid w:val="004B49C2"/>
    <w:rsid w:val="004C71A4"/>
    <w:rsid w:val="007056C5"/>
    <w:rsid w:val="007D75C2"/>
    <w:rsid w:val="00870FEF"/>
    <w:rsid w:val="00887D8C"/>
    <w:rsid w:val="00A161CB"/>
    <w:rsid w:val="00C449EE"/>
    <w:rsid w:val="00C76417"/>
    <w:rsid w:val="00D6558B"/>
    <w:rsid w:val="00E12B8C"/>
    <w:rsid w:val="00F53CAC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95DB"/>
  <w15:docId w15:val="{6ABB1F76-DA63-4BB7-878A-38A67FA1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B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49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9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9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9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4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5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Šrucová</dc:creator>
  <cp:lastModifiedBy>Petr Elias</cp:lastModifiedBy>
  <cp:revision>3</cp:revision>
  <dcterms:created xsi:type="dcterms:W3CDTF">2019-11-08T09:55:00Z</dcterms:created>
  <dcterms:modified xsi:type="dcterms:W3CDTF">2019-11-08T09:55:00Z</dcterms:modified>
</cp:coreProperties>
</file>